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cs="宋体"/>
          <w:bCs/>
          <w:sz w:val="24"/>
          <w:szCs w:val="36"/>
        </w:rPr>
      </w:pPr>
      <w:r>
        <w:rPr>
          <w:rFonts w:hint="eastAsia" w:cs="宋体"/>
          <w:bCs/>
          <w:sz w:val="24"/>
          <w:szCs w:val="36"/>
        </w:rPr>
        <w:t>附件</w:t>
      </w:r>
      <w:r>
        <w:rPr>
          <w:rFonts w:hint="eastAsia" w:cs="宋体"/>
          <w:bCs/>
          <w:sz w:val="24"/>
          <w:szCs w:val="36"/>
          <w:lang w:val="en-US" w:eastAsia="zh-CN"/>
        </w:rPr>
        <w:t>2</w:t>
      </w:r>
      <w:r>
        <w:rPr>
          <w:rFonts w:hint="eastAsia" w:cs="宋体"/>
          <w:bCs/>
          <w:sz w:val="24"/>
          <w:szCs w:val="36"/>
        </w:rPr>
        <w:t>：</w:t>
      </w:r>
    </w:p>
    <w:p>
      <w:pPr>
        <w:jc w:val="left"/>
        <w:rPr>
          <w:rFonts w:hint="eastAsia" w:cs="宋体"/>
          <w:bCs/>
          <w:sz w:val="24"/>
          <w:szCs w:val="36"/>
        </w:rPr>
      </w:pPr>
      <w:bookmarkStart w:id="0" w:name="_GoBack"/>
      <w:bookmarkEnd w:id="0"/>
    </w:p>
    <w:p>
      <w:pPr>
        <w:jc w:val="center"/>
        <w:rPr>
          <w:b/>
          <w:bCs/>
          <w:sz w:val="36"/>
          <w:szCs w:val="36"/>
        </w:rPr>
      </w:pPr>
      <w:r>
        <w:rPr>
          <w:rFonts w:hint="eastAsia" w:cs="宋体"/>
          <w:b/>
          <w:bCs/>
          <w:sz w:val="36"/>
          <w:szCs w:val="36"/>
          <w:lang w:eastAsia="zh-CN"/>
        </w:rPr>
        <w:t>南昌大学科学技术学院共青校区</w:t>
      </w:r>
      <w:r>
        <w:rPr>
          <w:rFonts w:hint="eastAsia" w:cs="宋体"/>
          <w:b/>
          <w:bCs/>
          <w:sz w:val="36"/>
          <w:szCs w:val="36"/>
        </w:rPr>
        <w:t>学生助理申请表</w:t>
      </w:r>
    </w:p>
    <w:p>
      <w:pPr>
        <w:jc w:val="left"/>
        <w:rPr>
          <w:bCs/>
          <w:sz w:val="24"/>
          <w:szCs w:val="36"/>
        </w:rPr>
      </w:pPr>
      <w:r>
        <w:rPr>
          <w:rFonts w:hint="eastAsia"/>
          <w:bCs/>
          <w:sz w:val="24"/>
          <w:szCs w:val="36"/>
        </w:rPr>
        <w:t xml:space="preserve">        </w:t>
      </w:r>
      <w:r>
        <w:rPr>
          <w:bCs/>
          <w:sz w:val="24"/>
          <w:szCs w:val="36"/>
        </w:rPr>
        <w:t xml:space="preserve"> </w:t>
      </w:r>
      <w:r>
        <w:rPr>
          <w:rFonts w:hint="eastAsia"/>
          <w:bCs/>
          <w:sz w:val="24"/>
          <w:szCs w:val="36"/>
        </w:rPr>
        <w:t xml:space="preserve">  </w:t>
      </w:r>
      <w:r>
        <w:rPr>
          <w:bCs/>
          <w:sz w:val="24"/>
          <w:szCs w:val="36"/>
        </w:rPr>
        <w:t xml:space="preserve"> </w:t>
      </w:r>
      <w:r>
        <w:rPr>
          <w:rFonts w:hint="eastAsia"/>
          <w:bCs/>
          <w:sz w:val="24"/>
          <w:szCs w:val="36"/>
        </w:rPr>
        <w:t xml:space="preserve">    </w:t>
      </w:r>
      <w:r>
        <w:rPr>
          <w:bCs/>
          <w:sz w:val="24"/>
          <w:szCs w:val="36"/>
        </w:rPr>
        <w:t xml:space="preserve">   </w:t>
      </w:r>
      <w:r>
        <w:rPr>
          <w:rFonts w:hint="eastAsia"/>
          <w:bCs/>
          <w:sz w:val="24"/>
          <w:szCs w:val="36"/>
        </w:rPr>
        <w:t xml:space="preserve"> </w:t>
      </w:r>
    </w:p>
    <w:p>
      <w:pPr>
        <w:adjustRightInd w:val="0"/>
        <w:snapToGrid w:val="0"/>
        <w:jc w:val="left"/>
        <w:rPr>
          <w:rFonts w:hint="eastAsia"/>
          <w:b/>
          <w:bCs/>
          <w:sz w:val="10"/>
          <w:szCs w:val="36"/>
        </w:rPr>
      </w:pPr>
    </w:p>
    <w:tbl>
      <w:tblPr>
        <w:tblStyle w:val="3"/>
        <w:tblW w:w="1025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8"/>
        <w:gridCol w:w="1559"/>
        <w:gridCol w:w="1276"/>
        <w:gridCol w:w="1417"/>
        <w:gridCol w:w="1417"/>
        <w:gridCol w:w="1"/>
        <w:gridCol w:w="1417"/>
        <w:gridCol w:w="19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125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姓名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性别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hint="eastAsia" w:ascii="宋体" w:eastAsiaTheme="minorEastAsia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出生年月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</w:p>
        </w:tc>
        <w:tc>
          <w:tcPr>
            <w:tcW w:w="1909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一寸照片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  <w:jc w:val="center"/>
        </w:trPr>
        <w:tc>
          <w:tcPr>
            <w:tcW w:w="1258" w:type="dxa"/>
            <w:vAlign w:val="center"/>
          </w:tcPr>
          <w:p>
            <w:pPr>
              <w:jc w:val="center"/>
              <w:rPr>
                <w:rFonts w:ascii="宋体"/>
                <w:sz w:val="24"/>
                <w:szCs w:val="28"/>
              </w:rPr>
            </w:pPr>
            <w:r>
              <w:rPr>
                <w:rFonts w:hint="eastAsia" w:ascii="宋体"/>
                <w:sz w:val="24"/>
                <w:szCs w:val="28"/>
                <w:lang w:eastAsia="zh-CN"/>
              </w:rPr>
              <w:t>专业班级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eastAsiaTheme="minorEastAsia"/>
                <w:sz w:val="24"/>
                <w:szCs w:val="28"/>
                <w:lang w:eastAsia="zh-CN"/>
              </w:rPr>
            </w:pPr>
            <w:r>
              <w:rPr>
                <w:rFonts w:hint="eastAsia" w:ascii="宋体"/>
                <w:sz w:val="24"/>
                <w:szCs w:val="28"/>
                <w:lang w:eastAsia="zh-CN"/>
              </w:rPr>
              <w:t>学号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="宋体"/>
                <w:sz w:val="24"/>
                <w:szCs w:val="28"/>
              </w:rPr>
            </w:pPr>
            <w:r>
              <w:rPr>
                <w:rFonts w:hint="eastAsia" w:ascii="宋体"/>
                <w:sz w:val="24"/>
                <w:szCs w:val="28"/>
              </w:rPr>
              <w:t>是否有违纪行为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125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/>
                <w:sz w:val="24"/>
                <w:szCs w:val="28"/>
              </w:rPr>
              <w:t>政治面貌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eastAsia="zh-CN"/>
              </w:rPr>
              <w:t>联系电话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QQ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90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4" w:hRule="atLeast"/>
          <w:jc w:val="center"/>
        </w:trPr>
        <w:tc>
          <w:tcPr>
            <w:tcW w:w="125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曾任职务</w:t>
            </w:r>
          </w:p>
        </w:tc>
        <w:tc>
          <w:tcPr>
            <w:tcW w:w="8996" w:type="dxa"/>
            <w:gridSpan w:val="7"/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2" w:hRule="atLeast"/>
          <w:jc w:val="center"/>
        </w:trPr>
        <w:tc>
          <w:tcPr>
            <w:tcW w:w="125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获奖情况</w:t>
            </w:r>
          </w:p>
        </w:tc>
        <w:tc>
          <w:tcPr>
            <w:tcW w:w="8996" w:type="dxa"/>
            <w:gridSpan w:val="7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677" w:hRule="atLeast"/>
          <w:jc w:val="center"/>
        </w:trPr>
        <w:tc>
          <w:tcPr>
            <w:tcW w:w="125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申请理由及工作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8"/>
              </w:rPr>
              <w:t>展望</w:t>
            </w:r>
          </w:p>
        </w:tc>
        <w:tc>
          <w:tcPr>
            <w:tcW w:w="8996" w:type="dxa"/>
            <w:gridSpan w:val="7"/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A95F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麦小兔☀</cp:lastModifiedBy>
  <dcterms:modified xsi:type="dcterms:W3CDTF">2018-06-05T01:58:06Z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